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6" w:rsidRPr="0037523C" w:rsidRDefault="00AA379D" w:rsidP="00B82371">
      <w:pPr>
        <w:pStyle w:val="Heading110"/>
        <w:keepNext/>
        <w:keepLines/>
        <w:shd w:val="clear" w:color="auto" w:fill="auto"/>
        <w:spacing w:after="0"/>
        <w:jc w:val="center"/>
      </w:pPr>
      <w:bookmarkStart w:id="0" w:name="bookmark0"/>
      <w:r>
        <w:rPr>
          <w:color w:val="000000"/>
        </w:rPr>
        <w:t>Symulacja działań dla klimatu: jastrzębie sprawiedliwości klimatycznej</w:t>
      </w:r>
      <w:bookmarkEnd w:id="0"/>
    </w:p>
    <w:p w:rsidR="001132FC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noProof/>
          <w:color w:val="000000"/>
          <w:sz w:val="22"/>
          <w:szCs w:val="22"/>
          <w:lang w:val="fr-BE" w:eastAsia="fr-BE"/>
        </w:rPr>
        <w:drawing>
          <wp:anchor distT="0" distB="20955" distL="63500" distR="307975" simplePos="0" relativeHeight="251657728" behindDoc="1" locked="0" layoutInCell="1" allowOverlap="1" wp14:anchorId="18898AF0" wp14:editId="6FA3E2C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 w:val="0"/>
          <w:iCs w:val="0"/>
          <w:noProof/>
          <w:color w:val="000000"/>
          <w:sz w:val="22"/>
          <w:szCs w:val="22"/>
          <w:lang w:val="fr-BE" w:eastAsia="fr-BE"/>
        </w:rPr>
        <w:drawing>
          <wp:inline distT="0" distB="0" distL="0" distR="0" wp14:anchorId="7D3F6146" wp14:editId="0383C62D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16" w:rsidRPr="001132FC" w:rsidRDefault="00AA379D" w:rsidP="00B82371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</w:pPr>
      <w:r>
        <w:rPr>
          <w:color w:val="000000"/>
        </w:rPr>
        <w:t>Do</w:t>
      </w:r>
      <w:proofErr w:type="gramStart"/>
      <w:r>
        <w:rPr>
          <w:color w:val="000000"/>
        </w:rPr>
        <w:t>:</w:t>
      </w:r>
      <w:r>
        <w:rPr>
          <w:color w:val="000000"/>
        </w:rPr>
        <w:tab/>
        <w:t>Głównych</w:t>
      </w:r>
      <w:proofErr w:type="gramEnd"/>
      <w:r>
        <w:rPr>
          <w:color w:val="000000"/>
        </w:rPr>
        <w:t xml:space="preserve"> negocjatorów reprezentujących jastrzębie sprawiedliwości klimatycznej</w:t>
      </w:r>
    </w:p>
    <w:p w:rsidR="00EC0416" w:rsidRPr="001132FC" w:rsidRDefault="00AA379D" w:rsidP="00B82371">
      <w:pPr>
        <w:pStyle w:val="Bodytext40"/>
        <w:shd w:val="clear" w:color="auto" w:fill="auto"/>
        <w:tabs>
          <w:tab w:val="left" w:pos="1442"/>
        </w:tabs>
        <w:spacing w:after="120" w:line="276" w:lineRule="auto"/>
      </w:pPr>
      <w:r>
        <w:rPr>
          <w:color w:val="000000"/>
        </w:rPr>
        <w:t>Dot</w:t>
      </w:r>
      <w:proofErr w:type="gramStart"/>
      <w:r>
        <w:rPr>
          <w:color w:val="000000"/>
        </w:rPr>
        <w:t>.:</w:t>
      </w:r>
      <w:r>
        <w:rPr>
          <w:color w:val="000000"/>
        </w:rPr>
        <w:tab/>
        <w:t>Przygotowania</w:t>
      </w:r>
      <w:proofErr w:type="gramEnd"/>
      <w:r>
        <w:rPr>
          <w:color w:val="000000"/>
        </w:rPr>
        <w:t xml:space="preserve"> do szczytu na rzecz działań klimatycznych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Witamy na szczycie poświęconym działaniom na rzecz klimatu. Sekretarz generalny ONZ zwrócił się do Was i do przywódców wszystkich zainteresowanych stron o podjęcie wspólnych działań na rzecz skutecznego rozwiązania problemu zmiany klimatu. </w:t>
      </w:r>
      <w:r>
        <w:t xml:space="preserve">W swym zaproszeniu sekretarz generalny </w:t>
      </w:r>
      <w:r>
        <w:rPr>
          <w:rStyle w:val="Bodytext21"/>
        </w:rPr>
        <w:t>stwierdził</w:t>
      </w:r>
      <w:r>
        <w:t>: „Kryzys klimatyczny jest wyścigiem, który przegrywamy, ale możemy go jeszcze wygrać [...]</w:t>
      </w:r>
      <w:r>
        <w:rPr>
          <w:color w:val="000000"/>
        </w:rPr>
        <w:t xml:space="preserve"> Według najbardziej wiarygodnych danych naukowych, każdy wzrost temperatury powyżej 1,5°C doprowadzi do poważnych i nieodwracalnych szkód w życiodajnych ekosystemach [...] Ale nauka mówi nam również, że nie jest jeszcze za późno. Możemy wygrać ten wyścig [...]. Ale będzie to wymagało fundamentalnej transformacji wszystkich aspektów naszego społeczeństwa – sposobu, w jakim wytwarzamy żywność, użytkujemy grunty, dostarczamy paliwa na potrzeby naszego transportu i zaopatrujemy w energię nasze gospodarki [...]. Nikt nie pozostanie w tyle pod warunkiem, że będziemy działać razem”.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Celem szczytu jest opracowanie planu dotyczącego ograniczenia globalnego ocieplenia do mniej niż 2 C [3,6°F] powyżej poziomu sprzed epoki przemysłowej, a nawet do ograniczenia go do 1,5°C [2,7°F], zgodnie z międzynarodowym celami, które zostały formalnie przyjęte w paryskim porozumieniu klimatycznym. </w:t>
      </w:r>
      <w:r>
        <w:rPr>
          <w:rStyle w:val="Bodytext21"/>
        </w:rPr>
        <w:t>Dowody naukowe</w:t>
      </w:r>
      <w:r>
        <w:t xml:space="preserve"> są jednoznaczne: ocieplenie powyżej tego pułapu przyniesie katastrofalne i nieodwracalne skutki zagrażające zdrowiu, dobrobytowi i życiu ludzi we wszystkich krajach.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40" w:line="276" w:lineRule="auto"/>
        <w:ind w:firstLine="0"/>
      </w:pPr>
      <w:r>
        <w:rPr>
          <w:color w:val="000000"/>
        </w:rPr>
        <w:t xml:space="preserve">Wasza Grupa obejmuje duże organizacje o ugruntowanej pozycji, działające na rzecz ochrony środowiska oraz nowsze ruchy kierowane przez młodzież – zarówno te pierwsze, jak i drugie przyciągają miliony ludzi na całym świecie. W skład waszej Grupy wchodzą również przedstawiciele szczególnie narażonych </w:t>
      </w:r>
      <w:proofErr w:type="gramStart"/>
      <w:r>
        <w:rPr>
          <w:color w:val="000000"/>
        </w:rPr>
        <w:t>społeczności</w:t>
      </w:r>
      <w:proofErr w:type="gramEnd"/>
      <w:r>
        <w:rPr>
          <w:color w:val="000000"/>
        </w:rPr>
        <w:t>, na przykład małych krajów wyspiarskich i ludy tubylcze, które znajdują się na pierwszej linii zmiany klimatu i których zdolność do rozwoju lub nawet przetrwania zależy od ograniczenia globalnego ocieplenia do 1,5°C powyżej poziomu sprzed epoki przemysłowej. Występujecie w imieniu przyszłych pokoleń, ludzi ubogich oraz najsłabszych grup na całym świecie.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00" w:line="276" w:lineRule="auto"/>
        <w:ind w:firstLine="0"/>
      </w:pPr>
      <w:r>
        <w:rPr>
          <w:color w:val="000000"/>
        </w:rPr>
        <w:t>Wasze priorytety polityczne wymieniono poniżej. Możecie jednak zaproponować lub zablokować dowolną dostępną politykę.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 xml:space="preserve">Ograniczenie ocieplenia do znacznie poniżej 2°C, a w miarę możliwości do poziomu jak najbliższego 1,5°C. </w:t>
      </w:r>
      <w:r>
        <w:rPr>
          <w:color w:val="000000"/>
        </w:rPr>
        <w:t>Globalne ocieplenie na poziomie 2°C nadal będzie miało poważne skutki dla dzisiejszych młodych ludzi i słabszych grup społecznych, które, choć w najmniejszym stopniu przyczyniły się w do zmiany klimatu, będą w większym stopniu odczuwać skutki ekstremalnych zjawisk pogodowych, coraz częstszych powodzi, susz, fal upałów i kryzysów w dziedzinie zdrowia publicznego. Jak najszybsze osiągnięcie ambitnego porozumienia w sprawie ograniczenia emisji gazów cieplarnianych złagodzi skutki tych emisji, które odczuwane są przez ludność krajów rozwijających się, lud tubylczy, osoby ubogie i ludzi młodych.</w:t>
      </w:r>
    </w:p>
    <w:p w:rsidR="00EC0416" w:rsidRPr="001132FC" w:rsidRDefault="00AA379D" w:rsidP="005062CD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3" w:hanging="403"/>
      </w:pPr>
      <w:r>
        <w:rPr>
          <w:rStyle w:val="Bodytext2Bold"/>
        </w:rPr>
        <w:t xml:space="preserve">Jak najszybsze uzyskanie 100 % energii ze źródeł odnawialnych poprzez wysoką cenę emisji dwutlenku węgla, dotacje do odnawialnych źródeł energii i opodatkowanie paliw kopalnych. </w:t>
      </w:r>
      <w:r>
        <w:rPr>
          <w:color w:val="000000"/>
        </w:rPr>
        <w:t>Głównym czynnikiem przyczyniającym się do zmiany klimatu są emisje z paliw kopalnych (węgiel, ropa naftowa, gaz ziemny). Świat musi natychmiast ogranic</w:t>
      </w:r>
      <w:r w:rsidR="005062CD">
        <w:rPr>
          <w:color w:val="000000"/>
        </w:rPr>
        <w:t>zyć wydobycie paliw kopalnych i </w:t>
      </w:r>
      <w:r>
        <w:rPr>
          <w:color w:val="000000"/>
        </w:rPr>
        <w:t xml:space="preserve">pozostawić złoża węgla w ziemi. </w:t>
      </w:r>
      <w:r>
        <w:t xml:space="preserve">Ekonomiści zgadzają się co do tego, że ustanowienie ceny na </w:t>
      </w:r>
      <w:r>
        <w:lastRenderedPageBreak/>
        <w:t xml:space="preserve">emisje dwutlenku węgla </w:t>
      </w:r>
      <w:r>
        <w:rPr>
          <w:color w:val="000000"/>
        </w:rPr>
        <w:t>(CO</w:t>
      </w:r>
      <w:r>
        <w:rPr>
          <w:vertAlign w:val="subscript"/>
        </w:rPr>
        <w:t>2</w:t>
      </w:r>
      <w:r>
        <w:rPr>
          <w:color w:val="000000"/>
        </w:rPr>
        <w:t>)</w:t>
      </w:r>
      <w:r>
        <w:t xml:space="preserve"> w celu odzwierciedlenia środowiskowych i społecznych kosztów tych emisji (znacznie powyżej 50 USD na tonę </w:t>
      </w:r>
      <w:r>
        <w:rPr>
          <w:color w:val="000000"/>
        </w:rPr>
        <w:t>CO</w:t>
      </w:r>
      <w:r>
        <w:rPr>
          <w:vertAlign w:val="subscript"/>
        </w:rPr>
        <w:t>2</w:t>
      </w:r>
      <w:r>
        <w:t>) jest najlepszym sposobem ograniczenia emisji w skali globalnej.</w:t>
      </w:r>
      <w:r>
        <w:rPr>
          <w:color w:val="000000"/>
        </w:rPr>
        <w:t xml:space="preserve"> Możecie również rozważyć subsydiowanie odnawialnych źródeł energii i/lub opodatkowanie węgla, ropy naftowej i gazu oraz wprowadzenie stosownych regulacji.</w:t>
      </w:r>
    </w:p>
    <w:p w:rsidR="00EC0416" w:rsidRPr="0037523C" w:rsidRDefault="00AA379D" w:rsidP="005062CD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3" w:hanging="403"/>
      </w:pPr>
      <w:r>
        <w:rPr>
          <w:rStyle w:val="Bodytext2Bold"/>
        </w:rPr>
        <w:t xml:space="preserve">Ograniczenie wylesiania. </w:t>
      </w:r>
      <w:r>
        <w:rPr>
          <w:color w:val="000000"/>
        </w:rPr>
        <w:t>Lasy na świecie obumierają. Wylesianie odpowiada obecnie za około 15 % emisji gazów cieplarnianych. Musicie działać na rzecz ochron</w:t>
      </w:r>
      <w:r w:rsidR="005062CD">
        <w:rPr>
          <w:color w:val="000000"/>
        </w:rPr>
        <w:t>y pozostałych lasów oraz osób w </w:t>
      </w:r>
      <w:r>
        <w:rPr>
          <w:color w:val="000000"/>
        </w:rPr>
        <w:t>nich mieszkających lub utrzymujących się z nich, w tym ludów tubylczych. Ochrona lasów zapewnia również zaopatrzenie w wodę słodkowodną i chroni zasoby naturalne oraz różnorodność biologiczną.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</w:pPr>
      <w:r>
        <w:rPr>
          <w:rStyle w:val="Bodytext2Bold"/>
        </w:rPr>
        <w:t xml:space="preserve">Zachowanie czujności wobec działań, które zagrażają światowej produkcji żywności i prawom własności gruntu. </w:t>
      </w:r>
      <w:r>
        <w:rPr>
          <w:color w:val="000000"/>
        </w:rPr>
        <w:t>Realizowanie na szeroką skalę takich polityk jak zalesianie, produkcja biopaliw oraz stosowanie takich metod usuwania dwutlenku węgla jak wychwytywanie i składowanie CO</w:t>
      </w:r>
      <w:r>
        <w:rPr>
          <w:color w:val="000000"/>
          <w:vertAlign w:val="subscript"/>
        </w:rPr>
        <w:t>2</w:t>
      </w:r>
      <w:r w:rsidR="005062CD">
        <w:rPr>
          <w:color w:val="000000"/>
        </w:rPr>
        <w:t xml:space="preserve"> z </w:t>
      </w:r>
      <w:r>
        <w:rPr>
          <w:color w:val="000000"/>
        </w:rPr>
        <w:t>wykorzystaniem energii z biomasy (BECCS) będzie wymagało wykorzystania dużych połaci gruntów i może stanowić zagrożenie dla produkcji żywności i zmuszać lud tubylczy i ubogą ludność do opuszczania własnych domów. Przy proponowaniu jakiejkolwiek polityki musicie zatem brać pod uwagę, czy jej realizacja wiąże się z eksploatowaniem dużych połaci gruntów.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</w:pPr>
      <w:r>
        <w:rPr>
          <w:rStyle w:val="Bodytext2Bold"/>
        </w:rPr>
        <w:t xml:space="preserve">Lobbowanie innych grup, by podjęły zdecydowane działania. </w:t>
      </w:r>
      <w:r>
        <w:rPr>
          <w:color w:val="000000"/>
        </w:rPr>
        <w:t>Jako niezależni aktywiści nie podlegacie partykularnym interesom. Nie posiadacie jednak duże</w:t>
      </w:r>
      <w:r w:rsidR="005062CD">
        <w:rPr>
          <w:color w:val="000000"/>
        </w:rPr>
        <w:t>j siły przebicia w porównaniu z </w:t>
      </w:r>
      <w:r>
        <w:rPr>
          <w:color w:val="000000"/>
        </w:rPr>
        <w:t xml:space="preserve">rządami i przemysłem paliw kopalnych. Przedstawiciele branży paliw kopalnych będą próbowali marginalizować i przedstawiać Was i reprezentowanych przez Was ludzi jako naiwnych i źle poinformowanych. </w:t>
      </w:r>
      <w:r>
        <w:t>Będą starali się podać w wątpliwość na</w:t>
      </w:r>
      <w:r w:rsidR="005062CD">
        <w:t>ukową wiedzę na temat klimatu i </w:t>
      </w:r>
      <w:r>
        <w:t>podkreślać brak niezbitych dowodów, czyli powielać ten sam scena</w:t>
      </w:r>
      <w:r w:rsidR="005062CD">
        <w:t>riusz, który branża tytoniowa z </w:t>
      </w:r>
      <w:r>
        <w:t xml:space="preserve">powodzeniem stosowała przez wielu lat w celu </w:t>
      </w:r>
      <w:r>
        <w:rPr>
          <w:rStyle w:val="Bodytext21"/>
        </w:rPr>
        <w:t>zdezorientowania ogółu społeczeństwa i opóźnienia działań</w:t>
      </w:r>
      <w:r>
        <w:t>.</w:t>
      </w:r>
      <w:r>
        <w:rPr>
          <w:color w:val="000000"/>
        </w:rPr>
        <w:t xml:space="preserve"> Użyjcie wszelkich taktyk, które uznacie za stosowne i które nie odwołują się do przemocy, aby przyciągnąć uwagę osób sprawujących władzę. Rozważcie zorganizowanie pokojowych demonstracji i wygłoszenie płomiennych przemówień. Przyjmijc</w:t>
      </w:r>
      <w:r w:rsidR="005062CD">
        <w:rPr>
          <w:color w:val="000000"/>
        </w:rPr>
        <w:t>ie postawę moralnej wyższości i </w:t>
      </w:r>
      <w:r>
        <w:rPr>
          <w:color w:val="000000"/>
        </w:rPr>
        <w:t>przypomnijcie, że walczycie o świat, w którym każde dziecko i każda osoba dorosła będzie mogła rozwinąć swój pełny potencjał.</w:t>
      </w:r>
    </w:p>
    <w:p w:rsidR="00EC0416" w:rsidRPr="0037523C" w:rsidRDefault="00AA379D">
      <w:pPr>
        <w:pStyle w:val="Bodytext60"/>
        <w:shd w:val="clear" w:color="auto" w:fill="auto"/>
        <w:spacing w:before="0" w:after="100"/>
      </w:pPr>
      <w:r>
        <w:rPr>
          <w:color w:val="000000"/>
        </w:rPr>
        <w:t>Kwestie dodatkowe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Ruch na rzecz przeciwdziałania zmianie klimatu rozszerza się. Naukowcy zgodni są co do tego, że klimat zmienia się już teraz, że główną przyczyną tego jest działalność człowieka i że jeśli nie powstrzymamy tej zmiany, to będzie miała ona katastrofalne skutki dla naszego dobrobytu, zdrowia i życia. Najwięcej do stracenia mają dziś ludzie młodzi. Są dziećmi gospodarki opartej na paliwach kopalnych, której sami nie tworzyli, ale która niesie ze sobą ryzyko pozostawienia po sobie zubożałego i niebezpiecznego świata, pozbawionego bogatej różnorodności roślin i zwierząt, którą mogły cieszyć się poprzednie pokolenia. Zmiana klimatu to zasadniczo kwestia sprawiedliwości. Im wcześniej wszystkie przedsiębiorstwa, konsumenci i kraje ograniczą emisje, tym większe prawdopodobieństwo,</w:t>
      </w:r>
      <w:r w:rsidR="005062CD">
        <w:rPr>
          <w:color w:val="000000"/>
        </w:rPr>
        <w:t xml:space="preserve"> że wszyscy odniesiemy sukces i </w:t>
      </w:r>
      <w:r>
        <w:rPr>
          <w:color w:val="000000"/>
        </w:rPr>
        <w:t>tym łatwiej będzie przeprowadzić transformację.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Ograniczenie emisji gazów cieplarnianych przyniesie korzyści społeczne i w zakresie zdrowia publicznego, w tym pod względem lepszej jakości powietrza i wody, bardziej ekologicznych miast, zapewnienia bezpieczeństwa energetycznego i żywnościowego, lepszego</w:t>
      </w:r>
      <w:r w:rsidR="005062CD">
        <w:rPr>
          <w:color w:val="000000"/>
        </w:rPr>
        <w:t xml:space="preserve"> zdrowia, nowych miejsc pracy i </w:t>
      </w:r>
      <w:r>
        <w:rPr>
          <w:color w:val="000000"/>
        </w:rPr>
        <w:t xml:space="preserve">większej odporności. Ograniczenie ocieplenia do 1,5°C raczej niż do 2°C uratowałoby ponad 100 mln ludzi od niedoborów wody i nawet 2 mld osób od niebezpiecznych fal upałów. Uchroniłoby także wiele gatunków roślin i zwierząt od ryzyka wyginięcia związanego ze zmianą klimatu. Działania mające na celu osiągnięcie wspomnianych celów w dziedzinie klimatu prawdopodobnie przyniosłyby skumulowane korzyści globalne w wysokości ponad 20 bln USD, a jednocześnie zmniejszyłyby nierówności gospodarcze na świecie. </w:t>
      </w:r>
      <w:r>
        <w:t>Międzyrządowy Zespół ds. Zmian Klimatu (IPCC) jasno stwierdził, że taka transformacja jest „</w:t>
      </w:r>
      <w:r>
        <w:rPr>
          <w:rStyle w:val="Bodytext21"/>
        </w:rPr>
        <w:t>możliwa w ramach praw fizyki i chemii</w:t>
      </w:r>
      <w:r>
        <w:t xml:space="preserve">” oraz przedstawił scenariusze umożliwiające osiągnięcie tego celu dzięki dzisiejszym technologiom </w:t>
      </w:r>
      <w:r>
        <w:rPr>
          <w:color w:val="000000"/>
        </w:rPr>
        <w:t>(</w:t>
      </w:r>
      <w:hyperlink r:id="rId9" w:history="1">
        <w:r>
          <w:rPr>
            <w:rStyle w:val="Bodytext21"/>
          </w:rPr>
          <w:t>https://www.ipcc.ch/sr15/</w:t>
        </w:r>
      </w:hyperlink>
      <w:r>
        <w:t>)</w:t>
      </w:r>
      <w:r>
        <w:rPr>
          <w:color w:val="000000"/>
        </w:rPr>
        <w:t>.</w:t>
      </w:r>
    </w:p>
    <w:p w:rsidR="00EC0416" w:rsidRPr="0037523C" w:rsidRDefault="00AA379D">
      <w:pPr>
        <w:pStyle w:val="Bodytext20"/>
        <w:shd w:val="clear" w:color="auto" w:fill="auto"/>
        <w:spacing w:before="0" w:after="140"/>
        <w:ind w:firstLine="0"/>
      </w:pPr>
      <w:r>
        <w:rPr>
          <w:color w:val="000000"/>
        </w:rPr>
        <w:t xml:space="preserve">Skutki zmiany klimatu nie będą jednolite. Ogromna niesprawiedliwość polega na tym, że osoby, które przyczyniły się w najmniejszym stopniu do globalnego ocieplenia, ucierpią najbardziej i będą </w:t>
      </w:r>
      <w:r>
        <w:rPr>
          <w:color w:val="000000"/>
        </w:rPr>
        <w:lastRenderedPageBreak/>
        <w:t>dysponowały najmniejszymi zasobami i infrastrukturą, aby się przystosować. Najbardziej narażone regiony świata obejmują Afrykę Subsaharyjską, Azję Południową i Południowo-Wschodnią, Amerykę Łacińską oraz państwa wyspiarskie na Pacyfiku i całym świecie. Wiele krajów rozwijających się opiera się w dużym stopniu na sektorach wrażliwych na zmiany klimatu, ta</w:t>
      </w:r>
      <w:r w:rsidR="005062CD">
        <w:rPr>
          <w:color w:val="000000"/>
        </w:rPr>
        <w:t>kich jak rolnictwo, leśnictwo i </w:t>
      </w:r>
      <w:bookmarkStart w:id="1" w:name="_GoBack"/>
      <w:bookmarkEnd w:id="1"/>
      <w:r>
        <w:rPr>
          <w:color w:val="000000"/>
        </w:rPr>
        <w:t>turystyka. Nawet w krajach rozwiniętych skutki zmiany klimatu są najbardziej odczuwane przez osoby ubogie, rolników i inne słabsze grupy społeczne.</w:t>
      </w:r>
    </w:p>
    <w:p w:rsidR="00EC0416" w:rsidRPr="0037523C" w:rsidRDefault="00AA379D">
      <w:pPr>
        <w:pStyle w:val="Bodytext20"/>
        <w:shd w:val="clear" w:color="auto" w:fill="auto"/>
        <w:spacing w:before="0" w:after="0" w:line="244" w:lineRule="exact"/>
        <w:ind w:firstLine="0"/>
      </w:pPr>
      <w:r>
        <w:rPr>
          <w:color w:val="000000"/>
        </w:rPr>
        <w:t>Świat stoi w obliczu wyzwania na niespotykaną dotąd skalę. Powodzenia! Przyszłość zależy od Waszego sukcesu.</w:t>
      </w:r>
    </w:p>
    <w:sectPr w:rsidR="00EC0416" w:rsidRPr="0037523C" w:rsidSect="00B82371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54" w:rsidRDefault="00AA379D">
      <w:pPr>
        <w:spacing w:line="240" w:lineRule="auto"/>
      </w:pPr>
      <w:r>
        <w:separator/>
      </w:r>
    </w:p>
  </w:endnote>
  <w:endnote w:type="continuationSeparator" w:id="0">
    <w:p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C" w:rsidRPr="00B82371" w:rsidRDefault="001132FC" w:rsidP="0037523C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 xml:space="preserve">Opracowane przez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Interactive, MIT Sloan School of Management </w:t>
    </w:r>
    <w:proofErr w:type="spellStart"/>
    <w:r>
      <w:rPr>
        <w:i/>
        <w:sz w:val="18"/>
        <w:szCs w:val="18"/>
      </w:rPr>
      <w:t>Sustainability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, ESB Business School, oraz </w:t>
    </w:r>
    <w:proofErr w:type="spellStart"/>
    <w:r>
      <w:rPr>
        <w:i/>
        <w:sz w:val="18"/>
        <w:szCs w:val="18"/>
      </w:rPr>
      <w:t>UMass</w:t>
    </w:r>
    <w:proofErr w:type="spellEnd"/>
    <w:r>
      <w:rPr>
        <w:i/>
        <w:sz w:val="18"/>
        <w:szCs w:val="18"/>
      </w:rPr>
      <w:t xml:space="preserve"> Lowell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Change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. Ostatnia aktualizacja: wrzesień 2019 r. </w:t>
    </w:r>
    <w:hyperlink r:id="rId1" w:history="1">
      <w:r>
        <w:rPr>
          <w:rStyle w:val="Hyperlink"/>
          <w:i/>
          <w:sz w:val="18"/>
          <w:szCs w:val="18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16" w:rsidRDefault="00EC0416"/>
  </w:footnote>
  <w:footnote w:type="continuationSeparator" w:id="0">
    <w:p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16"/>
    <w:rsid w:val="001132FC"/>
    <w:rsid w:val="0037523C"/>
    <w:rsid w:val="005062CD"/>
    <w:rsid w:val="00844BE1"/>
    <w:rsid w:val="008934BE"/>
    <w:rsid w:val="00A02954"/>
    <w:rsid w:val="00A719DE"/>
    <w:rsid w:val="00AA379D"/>
    <w:rsid w:val="00B82371"/>
    <w:rsid w:val="00C3451D"/>
    <w:rsid w:val="00D64E5A"/>
    <w:rsid w:val="00DB4BF7"/>
    <w:rsid w:val="00E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428D90"/>
  <w15:docId w15:val="{74404D94-8062-448A-8B08-C8EE03BC4B2D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pl-PL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pl-PL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71"/>
    <w:rPr>
      <w:rFonts w:ascii="Tahoma" w:hAnsi="Tahoma" w:cs="Tahoma"/>
      <w:sz w:val="16"/>
      <w:szCs w:val="16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CTJJHAUHWN5E-644613129-2832</_dlc_DocId>
    <_dlc_DocIdUrl xmlns="bfc960a6-20da-4c94-8684-71380fca093b">
      <Url>http://dm2016/eesc/2019/_layouts/15/DocIdRedir.aspx?ID=CTJJHAUHWN5E-644613129-2832</Url>
      <Description>CTJJHAUHWN5E-644613129-2832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65</Value>
      <Value>162</Value>
      <Value>72</Value>
      <Value>246</Value>
      <Value>154</Value>
      <Value>64</Value>
      <Value>152</Value>
      <Value>62</Value>
      <Value>60</Value>
      <Value>59</Value>
      <Value>58</Value>
      <Value>56</Value>
      <Value>55</Value>
      <Value>52</Value>
      <Value>49</Value>
      <Value>48</Value>
      <Value>46</Value>
      <Value>45</Value>
      <Value>38</Value>
      <Value>63</Value>
      <Value>153</Value>
      <Value>25</Value>
      <Value>21</Value>
      <Value>17</Value>
      <Value>16</Value>
      <Value>14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4F3A4-03A6-4971-BB33-66B40B217E32}"/>
</file>

<file path=customXml/itemProps2.xml><?xml version="1.0" encoding="utf-8"?>
<ds:datastoreItem xmlns:ds="http://schemas.openxmlformats.org/officeDocument/2006/customXml" ds:itemID="{A352BB98-5C5F-4AFC-BD14-FD5157A627B2}"/>
</file>

<file path=customXml/itemProps3.xml><?xml version="1.0" encoding="utf-8"?>
<ds:datastoreItem xmlns:ds="http://schemas.openxmlformats.org/officeDocument/2006/customXml" ds:itemID="{31027883-3ED3-44FB-8AF5-79865EB2E099}"/>
</file>

<file path=customXml/itemProps4.xml><?xml version="1.0" encoding="utf-8"?>
<ds:datastoreItem xmlns:ds="http://schemas.openxmlformats.org/officeDocument/2006/customXml" ds:itemID="{5FA0630F-EE8A-4935-9B69-3DDFD07D7240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8</TotalTime>
  <Pages>3</Pages>
  <Words>1358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Dokumenty robocze - Grupa 3 - Jastrzębie sprawiedliwości klimatycznej</dc:title>
  <cp:keywords>EESC-2019-05163-02-00-INFO-TRA-EN</cp:keywords>
  <dc:description>Rapporteur:  - Original language: EN - Date of document: 09/12/2019 - Date of meeting:  - External documents:  - Administrator: MME LAHOUSSE Chloé</dc:description>
  <cp:lastModifiedBy>Agnieszka Klimaszewska</cp:lastModifiedBy>
  <cp:revision>5</cp:revision>
  <dcterms:created xsi:type="dcterms:W3CDTF">2019-11-15T09:21:00Z</dcterms:created>
  <dcterms:modified xsi:type="dcterms:W3CDTF">2019-12-09T17:05:00Z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913bad75-98dc-447d-8cee-f03fdb41a8e5</vt:lpwstr>
  </property>
  <property fmtid="{D5CDD505-2E9C-101B-9397-08002B2CF9AE}" pid="9" name="AvailableTranslations">
    <vt:lpwstr>246;#ME|925b3da5-5ac0-4b3c-928c-6ef66a5c9b3c;#4;#EN|f2175f21-25d7-44a3-96da-d6a61b075e1b;#63;#MT|7df99101-6854-4a26-b53a-b88c0da02c26;#14;#DE|f6b31e5a-26fa-4935-b661-318e46daf27e;#10;#FR|d2afafd3-4c81-4f60-8f52-ee33f2f54ff3;#52;#DA|5d49c027-8956-412b-aa16-e85a0f96ad0e;#65;#ET|ff6c3f4c-b02c-4c3c-ab07-2c37995a7a0a;#59;#HR|2f555653-ed1a-4fe6-8362-9082d95989e5;#152;#MK|34ce48bb-063e-4413-a932-50853dc71c5c;#154;#SQ|5ac17240-8d11-45ec-9893-659b209d7a00;#25;#SK|46d9fce0-ef79-4f71-b89b-cd6aa82426b8;#17;#ES|e7a6b05b-ae16-40c8-add9-68b64b03aeba;#64;#PT|50ccc04a-eadd-42ae-a0cb-acaf45f812ba;#49;#EL|6d4f4d51-af9b-4650-94b4-4276bee85c91;#58;#LV|46f7e311-5d9f-4663-b433-18aeccb7ace7;#60;#HU|6b229040-c589-4408-b4c1-4285663d20a8;#162;#TR|6e4ededd-04c4-4fa0-94e0-1028050302d5;#153;#SR|7f3a1d13-b985-4bfd-981e-afe31377edff;#38;#SV|c2ed69e7-a339-43d7-8f22-d93680a92aa0;#45;#NL|55c6556c-b4f4-441d-9acf-c498d4f838bd;#62;#FI|87606a43-d45f-42d6-b8c9-e1a3457db5b7;#48;#LT|a7ff5ce7-6123-4f68-865a-a57c31810414;#72;#GA|762d2456-c427-4ecb-b312-af3dad8e258c;#21;#IT|0774613c-01ed-4e5d-a25d-11d2388de825;#55;#BG|1a1b3951-7821-4e6a-85f5-5673fc08bd2c;#16;#PL|1e03da61-4678-4e07-b136-b5024ca9197b;#46;#CS|72f9705b-0217-4fd3-bea2-cbc7ed80e26e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T|7df99101-6854-4a26-b53a-b88c0da02c26;DA|5d49c027-8956-412b-aa16-e85a0f96ad0e;HR|2f555653-ed1a-4fe6-8362-9082d95989e5;MK|34ce48bb-063e-4413-a932-50853dc71c5c;SQ|5ac17240-8d11-45ec-9893-659b209d7a00;SK|46d9fce0-ef79-4f71-b89b-cd6aa82426b8;ES|e7a6b05b-ae16-40c8-add9-68b64b03aeba;PT|50ccc04a-eadd-42ae-a0cb-acaf45f812ba;EL|6d4f4d51-af9b-4650-94b4-4276bee85c91;TR|6e4ededd-04c4-4fa0-94e0-1028050302d5;SR|7f3a1d13-b985-4bfd-981e-afe31377edff;SV|c2ed69e7-a339-43d7-8f22-d93680a92aa0;NL|55c6556c-b4f4-441d-9acf-c498d4f838bd;FI|87606a43-d45f-42d6-b8c9-e1a3457db5b7;LT|a7ff5ce7-6123-4f68-865a-a57c31810414;IT|0774613c-01ed-4e5d-a25d-11d2388de825;BG|1a1b3951-7821-4e6a-85f5-5673fc08bd2c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48;#LT|a7ff5ce7-6123-4f68-865a-a57c31810414;#153;#SR|7f3a1d13-b985-4bfd-981e-afe31377edff;#64;#PT|50ccc04a-eadd-42ae-a0cb-acaf45f812ba;#63;#MT|7df99101-6854-4a26-b53a-b88c0da02c26;#25;#SK|46d9fce0-ef79-4f71-b89b-cd6aa82426b8;#246;#ME|925b3da5-5ac0-4b3c-928c-6ef66a5c9b3c;#62;#FI|87606a43-d45f-42d6-b8c9-e1a3457db5b7;#59;#HR|2f555653-ed1a-4fe6-8362-9082d95989e5;#21;#IT|0774613c-01ed-4e5d-a25d-11d2388de825;#56;#SL|98a412ae-eb01-49e9-ae3d-585a81724cfc;#55;#BG|1a1b3951-7821-4e6a-85f5-5673fc08bd2c;#17;#ES|e7a6b05b-ae16-40c8-add9-68b64b03aeba;#52;#DA|5d49c027-8956-412b-aa16-e85a0f96ad0e;#162;#TR|6e4ededd-04c4-4fa0-94e0-1028050302d5;#4;#EN|f2175f21-25d7-44a3-96da-d6a61b075e1b;#49;#EL|6d4f4d51-af9b-4650-94b4-4276bee85c91;#11;#INFO|d9136e7c-93a9-4c42-9d28-92b61e85f80c;#38;#SV|c2ed69e7-a339-43d7-8f22-d93680a92aa0;#45;#NL|55c6556c-b4f4-441d-9acf-c498d4f838bd;#7;#Final|ea5e6674-7b27-4bac-b091-73adbb394efe;#154;#SQ|5ac17240-8d11-45ec-9893-659b209d7a00;#5;#Unrestricted|826e22d7-d029-4ec0-a450-0c28ff673572;#152;#MK|34ce48bb-063e-4413-a932-50853dc71c5c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16;#PL|1e03da61-4678-4e07-b136-b5024ca9197b</vt:lpwstr>
  </property>
</Properties>
</file>